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8C25" w14:textId="77777777" w:rsidR="006F6471" w:rsidRDefault="006F6471" w:rsidP="006F6471">
      <w:pPr>
        <w:jc w:val="center"/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</w:pPr>
      <w:r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  <w:t>AHO 2.0</w:t>
      </w:r>
    </w:p>
    <w:p w14:paraId="4B3C2E81" w14:textId="006452D8" w:rsidR="006F6471" w:rsidRDefault="006F6471">
      <w:pPr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</w:pPr>
      <w:r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  <w:t xml:space="preserve">      A </w:t>
      </w:r>
      <w:r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  <w:t>New Radical AHO Citywide Up-Zoning Petition </w:t>
      </w:r>
    </w:p>
    <w:p w14:paraId="23CACFF5" w14:textId="77777777" w:rsidR="006F6471" w:rsidRDefault="006F6471">
      <w:pPr>
        <w:rPr>
          <w:rStyle w:val="Strong"/>
          <w:rFonts w:ascii="EB Garamond" w:hAnsi="EB Garamond"/>
          <w:color w:val="C23B3B"/>
          <w:sz w:val="36"/>
          <w:szCs w:val="36"/>
          <w:shd w:val="clear" w:color="auto" w:fill="FFFFFF"/>
        </w:rPr>
      </w:pPr>
    </w:p>
    <w:p w14:paraId="02ADBF1B" w14:textId="165FBF07" w:rsidR="00931446" w:rsidRPr="006F6471" w:rsidRDefault="006F6471">
      <w:pPr>
        <w:rPr>
          <w:rFonts w:cstheme="minorHAnsi"/>
          <w:b/>
          <w:bCs/>
        </w:rPr>
      </w:pPr>
      <w:r>
        <w:rPr>
          <w:rStyle w:val="Strong"/>
          <w:rFonts w:cstheme="minorHAnsi"/>
          <w:b w:val="0"/>
          <w:bCs w:val="0"/>
          <w:color w:val="7030A0"/>
          <w:shd w:val="clear" w:color="auto" w:fill="FFFFFF"/>
        </w:rPr>
        <w:t>Citywide Up-zoning Proposal t</w:t>
      </w:r>
      <w:r w:rsidRPr="006F6471">
        <w:rPr>
          <w:rStyle w:val="Strong"/>
          <w:rFonts w:cstheme="minorHAnsi"/>
          <w:b w:val="0"/>
          <w:bCs w:val="0"/>
          <w:color w:val="7030A0"/>
          <w:shd w:val="clear" w:color="auto" w:fill="FFFFFF"/>
        </w:rPr>
        <w:t xml:space="preserve">o </w:t>
      </w:r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>add</w:t>
      </w:r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>:</w:t>
      </w:r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 xml:space="preserve"> 15-17 story heights in our Squares and 12-14 story heights on our avenues </w:t>
      </w:r>
      <w:proofErr w:type="gramStart"/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>PLUS  density</w:t>
      </w:r>
      <w:proofErr w:type="gramEnd"/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 xml:space="preserve"> increases on many city avenues and elsewhere in the City. 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Our CDD (Community Development Department) rather than critically evaluating this massive proposal, here has simply accepted what the developers and affiliated </w:t>
      </w:r>
      <w:proofErr w:type="spellStart"/>
      <w:r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C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ouncillors</w:t>
      </w:r>
      <w:proofErr w:type="spellEnd"/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 proposed. Tell City Council: We have c.3000-3500 Cambridge residents on our affordable housing list. Please add new housing on city owned land; save money, add more units, and promote more equity by providing down payments for half the units so people can gain equity. In short, address OUR city-specific needs.  </w:t>
      </w:r>
      <w:r w:rsidRPr="006F6471">
        <w:rPr>
          <w:rFonts w:cstheme="minorHAnsi"/>
          <w:b/>
          <w:bCs/>
          <w:color w:val="3F3F3F"/>
          <w:shd w:val="clear" w:color="auto" w:fill="FFFFFF"/>
        </w:rPr>
        <w:t xml:space="preserve"> 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5848B7"/>
          <w:shd w:val="clear" w:color="auto" w:fill="FFFFFF"/>
        </w:rPr>
        <w:t>Read the full AHO language and Community Development Department (CDD) commentary on it: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</w:t>
      </w:r>
      <w:hyperlink r:id="rId4" w:history="1">
        <w:r w:rsidRPr="006F6471">
          <w:rPr>
            <w:rStyle w:val="Hyperlink"/>
            <w:rFonts w:cstheme="minorHAnsi"/>
            <w:b/>
            <w:bCs/>
            <w:color w:val="4F4F4E"/>
            <w:spacing w:val="22"/>
            <w:shd w:val="clear" w:color="auto" w:fill="FFFFFF"/>
          </w:rPr>
          <w:t>HERE</w:t>
        </w:r>
      </w:hyperlink>
      <w:r w:rsidRPr="006F6471">
        <w:rPr>
          <w:rFonts w:cstheme="minorHAnsi"/>
          <w:b/>
          <w:bCs/>
          <w:color w:val="3F3F3F"/>
        </w:rPr>
        <w:br/>
      </w:r>
      <w:r w:rsidRPr="006F6471">
        <w:rPr>
          <w:rFonts w:cstheme="minorHAnsi"/>
          <w:b/>
          <w:bCs/>
          <w:color w:val="3F3F3F"/>
        </w:rPr>
        <w:br/>
      </w:r>
      <w:r w:rsidRPr="006F6471">
        <w:rPr>
          <w:rStyle w:val="Strong"/>
          <w:rFonts w:cstheme="minorHAnsi"/>
          <w:b w:val="0"/>
          <w:bCs w:val="0"/>
          <w:color w:val="3F3F3F"/>
          <w:shd w:val="clear" w:color="auto" w:fill="FFFFFF"/>
        </w:rPr>
        <w:t>What this new massive Affordable Housing Overlay (AHO) city-wide up zoning will allow in brief: 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*Squares: max 170’ AHO height (equiv. of 15-17 stories) – no density limit or min. unit size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**Corridors:  max 140’ AHO height (equiv. 12-14 stories) – no density limit or min. unit size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-Everywhere: No AHO height limits if 5% plus of current green area is kept or expanded.   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-Everywhere: No front or side yard setbacks required (15’ minimum for back yard)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-Everywhere “open space” requirements (30%) can include decks and rooftops (bad for trees)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-For Current residential or mixed residential and commercial zones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     Most city homes now are 2.5 stories; AHO buildings can go to 45’ (4 ½ stories)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    In city zones allowing now 40-65’ (4-6 stories) the AHO can go to 9 stories (100 feet)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     In city zones now allowing 65’(6 stories) the AHO can go to 150’ (equivalent of 15 stories)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      (If an AHO is abutting an area zoned for less than 40’; AHO max is 5 stories [60 feet])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 Density changes (density may be quadrupled; if now less than 1 FAR, can go to 2 FAR)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 No front or side yard setbacks (15’ minimum for back yard)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 Porches and eaves can extend 10 feet beyond minimum setbacks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 Open space requirements (30%) can include decks and rooftops (bad for trees)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      Open space requirement if state registry historic building is kept (15% w. decks/roof tops)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*Squares: Overlay District Squares  (Central, Harvard, Lesley/Porter plus Elm Street to Somerville border; Windsor St to east and Cambridge Street to the South (not including ML 81-50,</w:t>
      </w:r>
      <w:r w:rsidRPr="006F6471">
        <w:rPr>
          <w:rStyle w:val="Strong"/>
          <w:rFonts w:cstheme="minorHAnsi"/>
          <w:b w:val="0"/>
          <w:bCs w:val="0"/>
          <w:color w:val="3F3F3F"/>
          <w:shd w:val="clear" w:color="auto" w:fill="FFFFFF"/>
        </w:rPr>
        <w:t> 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ML 81-101, or ML 81-100.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</w:t>
      </w:r>
      <w:r w:rsidRPr="006F6471">
        <w:rPr>
          <w:rFonts w:cstheme="minorHAnsi"/>
          <w:b/>
          <w:bCs/>
          <w:color w:val="3F3F3F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**Corridors: Albany Street, Alewife Brook Parkway, Bishop Allen Drive, Broadway, Cambridge Street, Concord Avenue, First Street, Fresh Pond Parkway, Massachusetts Avenue, Memorial Drive, Mount Auburn Street, Prospect Street, and Sidney Street.</w:t>
      </w:r>
      <w:r w:rsidRPr="006F6471">
        <w:rPr>
          <w:rFonts w:cstheme="minorHAnsi"/>
          <w:b/>
          <w:bCs/>
          <w:color w:val="2A2A2A"/>
          <w:shd w:val="clear" w:color="auto" w:fill="FFFFFF"/>
        </w:rPr>
        <w:br/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​</w:t>
      </w:r>
      <w:r w:rsidRPr="006F6471">
        <w:rPr>
          <w:rFonts w:cstheme="minorHAnsi"/>
          <w:b/>
          <w:bCs/>
          <w:color w:val="3F3F3F"/>
        </w:rPr>
        <w:br/>
      </w:r>
      <w:r w:rsidRPr="006F6471">
        <w:rPr>
          <w:rStyle w:val="Strong"/>
          <w:rFonts w:cstheme="minorHAnsi"/>
          <w:b w:val="0"/>
          <w:bCs w:val="0"/>
          <w:color w:val="C23B3B"/>
          <w:shd w:val="clear" w:color="auto" w:fill="FFFFFF"/>
        </w:rPr>
        <w:lastRenderedPageBreak/>
        <w:t>ABC, the political group who is sponsoring this massive up-zoning petition,  appears to be fund-raising off this AHO amendment proposal, reaching out to builders and developers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 in a March 26, 2023 </w:t>
      </w:r>
      <w:hyperlink r:id="rId5" w:history="1">
        <w:r w:rsidRPr="006F6471">
          <w:rPr>
            <w:rStyle w:val="Hyperlink"/>
            <w:rFonts w:cstheme="minorHAnsi"/>
            <w:b/>
            <w:bCs/>
            <w:i/>
            <w:iCs/>
            <w:color w:val="5040AE"/>
            <w:spacing w:val="22"/>
            <w:shd w:val="clear" w:color="auto" w:fill="FFFFFF"/>
          </w:rPr>
          <w:t>Banker and Tradesman</w:t>
        </w:r>
      </w:hyperlink>
      <w:r w:rsidRPr="006F6471">
        <w:rPr>
          <w:rStyle w:val="Emphasis"/>
          <w:rFonts w:cstheme="minorHAnsi"/>
          <w:b/>
          <w:bCs/>
          <w:color w:val="3F3F3F"/>
          <w:shd w:val="clear" w:color="auto" w:fill="FFFFFF"/>
        </w:rPr>
        <w:t>  </w:t>
      </w:r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article published by the two-chairs of the ABC advocacy team. One of these individuals is also leading the effort to gut the existing Cambridge architectural preservation policies (see below). Any funding to their political </w:t>
      </w:r>
      <w:proofErr w:type="spellStart"/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pac</w:t>
      </w:r>
      <w:proofErr w:type="spellEnd"/>
      <w:r w:rsidRPr="006F6471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 raised through this drive will go to support their candidates in the next election.</w:t>
      </w:r>
    </w:p>
    <w:sectPr w:rsidR="00931446" w:rsidRPr="006F6471" w:rsidSect="001C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71"/>
    <w:rsid w:val="001C4467"/>
    <w:rsid w:val="005E2845"/>
    <w:rsid w:val="006F6471"/>
    <w:rsid w:val="009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4EE6C"/>
  <w15:chartTrackingRefBased/>
  <w15:docId w15:val="{C51DF029-8930-624B-AD5A-58C174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4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64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erandtradesman.com/cambridge-seeks-to-take-overlay-to-higher-level/" TargetMode="External"/><Relationship Id="rId4" Type="http://schemas.openxmlformats.org/officeDocument/2006/relationships/hyperlink" Target="https://www.cccoalition.org/uploads/1/2/5/9/125984883/attachment-15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1</cp:revision>
  <dcterms:created xsi:type="dcterms:W3CDTF">2023-07-01T21:39:00Z</dcterms:created>
  <dcterms:modified xsi:type="dcterms:W3CDTF">2023-07-01T21:42:00Z</dcterms:modified>
</cp:coreProperties>
</file>